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9de4b" w14:paraId="1a9de4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76EFB" w:rsidP="00F76EFB" w:rsidR="00F76EFB">
      <w:pPr>
        <w:pStyle w:val="Bezproreda"/>
        <w:ind w:firstLine="708" w:left="4956"/>
      </w:pPr>
      <w:r>
        <w:t>1 St-1/2017-38</w:t>
      </w:r>
    </w:p>
    <w:p w:rsidRDefault="00F76EFB" w:rsidP="00F76EFB" w:rsidR="00F76EFB">
      <w:pPr>
        <w:pStyle w:val="Bezproreda"/>
      </w:pPr>
    </w:p>
    <w:p w:rsidRDefault="00F76EFB" w:rsidP="00F76EFB" w:rsidR="00F76EFB">
      <w:pPr>
        <w:pStyle w:val="Bezproreda"/>
      </w:pPr>
    </w:p>
    <w:p w:rsidRDefault="00F76EFB" w:rsidP="00F76EFB" w:rsidR="00F76EFB">
      <w:pPr>
        <w:pStyle w:val="Bezproreda"/>
        <w:jc w:val="center"/>
      </w:pPr>
      <w:r>
        <w:t>R E P U B L I K A       H R V A T S K A</w:t>
      </w:r>
    </w:p>
    <w:p w:rsidRDefault="00F76EFB" w:rsidP="00F76EFB" w:rsidR="00F76EFB">
      <w:pPr>
        <w:pStyle w:val="Bezproreda"/>
      </w:pPr>
    </w:p>
    <w:p w:rsidRDefault="00F76EFB" w:rsidP="00F76EFB" w:rsidR="00F76EFB">
      <w:pPr>
        <w:pStyle w:val="Bezproreda"/>
        <w:jc w:val="center"/>
      </w:pPr>
      <w:r>
        <w:t>R J E Š E N J E</w:t>
      </w:r>
    </w:p>
    <w:p w:rsidRDefault="00F76EFB" w:rsidP="00F76EFB" w:rsidR="00F76EFB">
      <w:pPr>
        <w:pStyle w:val="Bezproreda"/>
      </w:pPr>
    </w:p>
    <w:p w:rsidRDefault="00F76EFB" w:rsidP="00F76EFB" w:rsidR="00F76EFB">
      <w:pPr>
        <w:pStyle w:val="Bezproreda"/>
      </w:pPr>
    </w:p>
    <w:p w:rsidRDefault="00F76EFB" w:rsidP="00F76EFB" w:rsidR="00F76EFB">
      <w:pPr>
        <w:pStyle w:val="Bezproreda"/>
      </w:pPr>
      <w:r>
        <w:tab/>
        <w:t xml:space="preserve">TRGOVAČKI SUD U BJELOVARU, po  sucu  Branki Pleskalt, u </w:t>
      </w:r>
      <w:proofErr w:type="spellStart"/>
      <w:r>
        <w:t>predstečajnom</w:t>
      </w:r>
      <w:proofErr w:type="spellEnd"/>
      <w:r>
        <w:t xml:space="preserve"> postupku  nad dužnikom VOĆE-PROMET d.o.o. za trgovinu i usluge ČEMERNICA , Zagrebačka 20, OIB: 40333024256,   dana  12. svibnja 2017. godine</w:t>
      </w:r>
    </w:p>
    <w:p w:rsidRDefault="00F76EFB" w:rsidP="00F76EFB" w:rsidR="00F76EFB">
      <w:pPr>
        <w:pStyle w:val="Bezproreda"/>
      </w:pPr>
    </w:p>
    <w:p w:rsidRDefault="00F76EFB" w:rsidP="00F76EFB" w:rsidR="00F76EFB">
      <w:pPr>
        <w:pStyle w:val="Bezproreda"/>
        <w:jc w:val="center"/>
      </w:pPr>
      <w:r>
        <w:t>r i j e š i o   j e</w:t>
      </w:r>
    </w:p>
    <w:p w:rsidRDefault="00F76EFB" w:rsidP="00F76EFB" w:rsidR="00F76EFB">
      <w:pPr>
        <w:pStyle w:val="Bezproreda"/>
      </w:pPr>
    </w:p>
    <w:p w:rsidRDefault="00F76EFB" w:rsidP="00F76EFB" w:rsidR="00F76EFB">
      <w:pPr>
        <w:pStyle w:val="Bezproreda"/>
      </w:pPr>
      <w:r>
        <w:t xml:space="preserve">Utvrđuje se prihvaćanje plana </w:t>
      </w:r>
      <w:proofErr w:type="spellStart"/>
      <w:r>
        <w:t>restruktuiranja</w:t>
      </w:r>
      <w:proofErr w:type="spellEnd"/>
      <w:r>
        <w:t xml:space="preserve"> i potvrđuje </w:t>
      </w:r>
      <w:proofErr w:type="spellStart"/>
      <w:r>
        <w:t>predstečajni</w:t>
      </w:r>
      <w:proofErr w:type="spellEnd"/>
      <w:r>
        <w:t xml:space="preserve"> sporazum zaključen  između dužnika VOĆE-PROMET d.o.o. za trgovinu i usluge ČEMERNICA, Zagrebačka 20, OIB. 40333024256,  i dolje navedenih vjerovnika na način da se utvrđene tražbine otpišu za 70 %.  Preostalih 30% tražbina otplatiti će se na 36 mjeseci uz dodatnih 12 mjeseci počeka, bez kamata, u jednakim mjesečnim anuitetima, počevši od pravomoćnosti Rješenja Trgovačkog suda u Bjelovaru sklopljenoj </w:t>
      </w:r>
      <w:proofErr w:type="spellStart"/>
      <w:r>
        <w:t>predsečajnoj</w:t>
      </w:r>
      <w:proofErr w:type="spellEnd"/>
      <w:r>
        <w:t xml:space="preserve"> nagodbi, svakog 15-</w:t>
      </w:r>
      <w:proofErr w:type="spellStart"/>
      <w:r>
        <w:t>og</w:t>
      </w:r>
      <w:proofErr w:type="spellEnd"/>
      <w:r>
        <w:t xml:space="preserve"> u mjesecu. Na tražbine na koje se odnosi uvjetno ispunjenje primjenjuje se isti način namirenja, počevši od dana nastupa regresnog prava, kako slijedi:</w:t>
      </w:r>
    </w:p>
    <w:p w:rsidRDefault="00F76EFB" w:rsidP="00F76EFB" w:rsidR="00F76EFB">
      <w:pPr>
        <w:pStyle w:val="Bezproreda"/>
      </w:pPr>
    </w:p>
    <w:tbl>
      <w:tblPr>
        <w:tblW w:type="dxa" w:w="9270"/>
        <w:tblLayout w:type="fixed"/>
        <w:tblCellMar>
          <w:left w:type="dxa" w:w="30"/>
          <w:right w:type="dxa" w:w="30"/>
        </w:tblCellMar>
        <w:tblLook w:val="04A0" w:noVBand="1" w:noHBand="0" w:lastColumn="0" w:firstColumn="1" w:lastRow="0" w:firstRow="1"/>
      </w:tblPr>
      <w:tblGrid>
        <w:gridCol w:w="345"/>
        <w:gridCol w:w="1221"/>
        <w:gridCol w:w="1327"/>
        <w:gridCol w:w="1025"/>
        <w:gridCol w:w="80"/>
        <w:gridCol w:w="835"/>
        <w:gridCol w:w="1176"/>
        <w:gridCol w:w="993"/>
        <w:gridCol w:w="852"/>
        <w:gridCol w:w="1416"/>
      </w:tblGrid>
      <w:tr w:rsidTr="00F76EFB" w:rsidR="00F76EFB">
        <w:trPr>
          <w:trHeight w:val="679"/>
        </w:trPr>
        <w:tc>
          <w:tcPr>
            <w:tcW w:type="dxa" w:w="346"/>
            <w:tcBorders>
              <w:top w:space="0" w:sz="6" w:color="auto" w:val="single"/>
              <w:left w:space="0" w:sz="6" w:color="auto" w:val="single"/>
              <w:bottom w:space="0" w:sz="6" w:color="auto" w:val="single"/>
              <w:right w:space="0" w:sz="6" w:color="auto" w:val="single"/>
            </w:tcBorders>
            <w:shd w:fill="auto" w:color="33CCCC"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proofErr w:type="spellStart"/>
            <w:r>
              <w:rPr>
                <w:b/>
                <w:bCs/>
                <w:color w:val="000000"/>
                <w:sz w:val="16"/>
                <w:szCs w:val="16"/>
              </w:rPr>
              <w:t>Rbr</w:t>
            </w:r>
            <w:proofErr w:type="spellEnd"/>
          </w:p>
        </w:tc>
        <w:tc>
          <w:tcPr>
            <w:tcW w:type="dxa" w:w="1221"/>
            <w:tcBorders>
              <w:top w:space="0" w:sz="6" w:color="auto" w:val="single"/>
              <w:left w:space="0" w:sz="6" w:color="auto" w:val="single"/>
              <w:bottom w:space="0" w:sz="6" w:color="auto" w:val="single"/>
              <w:right w:space="0" w:sz="6" w:color="auto" w:val="single"/>
            </w:tcBorders>
            <w:shd w:fill="auto" w:color="33CCCC"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r>
              <w:rPr>
                <w:b/>
                <w:bCs/>
                <w:color w:val="000000"/>
                <w:sz w:val="16"/>
                <w:szCs w:val="16"/>
              </w:rPr>
              <w:t>OIB VJEROVNIKA</w:t>
            </w:r>
          </w:p>
        </w:tc>
        <w:tc>
          <w:tcPr>
            <w:tcW w:type="dxa" w:w="1327"/>
            <w:tcBorders>
              <w:top w:space="0" w:sz="6" w:color="auto" w:val="single"/>
              <w:left w:space="0" w:sz="6" w:color="auto" w:val="single"/>
              <w:bottom w:space="0" w:sz="6" w:color="auto" w:val="single"/>
              <w:right w:space="0" w:sz="6" w:color="auto" w:val="single"/>
            </w:tcBorders>
            <w:shd w:fill="auto" w:color="33CCCC"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r>
              <w:rPr>
                <w:b/>
                <w:bCs/>
                <w:color w:val="000000"/>
                <w:sz w:val="16"/>
                <w:szCs w:val="16"/>
              </w:rPr>
              <w:t>NAZIV VJEROVNIKA</w:t>
            </w:r>
          </w:p>
        </w:tc>
        <w:tc>
          <w:tcPr>
            <w:tcW w:type="dxa" w:w="1025"/>
            <w:tcBorders>
              <w:top w:space="0" w:sz="6" w:color="auto" w:val="single"/>
              <w:left w:space="0" w:sz="6" w:color="auto" w:val="single"/>
              <w:bottom w:space="0" w:sz="6" w:color="auto" w:val="single"/>
              <w:right w:space="0" w:sz="6" w:color="auto" w:val="single"/>
            </w:tcBorders>
            <w:shd w:fill="auto" w:color="33CCCC"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r>
              <w:rPr>
                <w:b/>
                <w:bCs/>
                <w:color w:val="000000"/>
                <w:sz w:val="16"/>
                <w:szCs w:val="16"/>
              </w:rPr>
              <w:t>ADRESA</w:t>
            </w:r>
          </w:p>
        </w:tc>
        <w:tc>
          <w:tcPr>
            <w:tcW w:type="dxa" w:w="80"/>
            <w:tcBorders>
              <w:top w:space="0" w:sz="6" w:color="auto" w:val="single"/>
              <w:left w:space="0" w:sz="6" w:color="auto" w:val="single"/>
              <w:bottom w:space="0" w:sz="6" w:color="auto" w:val="single"/>
              <w:right w:space="0" w:sz="6" w:color="auto" w:val="single"/>
            </w:tcBorders>
            <w:shd w:fill="auto" w:color="33CCCC" w:val="solid"/>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p>
        </w:tc>
        <w:tc>
          <w:tcPr>
            <w:tcW w:type="dxa" w:w="835"/>
            <w:tcBorders>
              <w:top w:space="0" w:sz="6" w:color="auto" w:val="single"/>
              <w:left w:space="0" w:sz="6" w:color="auto" w:val="single"/>
              <w:bottom w:space="0" w:sz="6" w:color="auto" w:val="single"/>
              <w:right w:space="0" w:sz="6" w:color="auto" w:val="single"/>
            </w:tcBorders>
            <w:shd w:fill="auto" w:color="33CCCC"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r>
              <w:rPr>
                <w:b/>
                <w:bCs/>
                <w:color w:val="000000"/>
                <w:sz w:val="16"/>
                <w:szCs w:val="16"/>
              </w:rPr>
              <w:t>IZNOS OBVEZE PREMA IZVJEŠĆU DUŽNIKA</w:t>
            </w:r>
          </w:p>
        </w:tc>
        <w:tc>
          <w:tcPr>
            <w:tcW w:type="dxa" w:w="1176"/>
            <w:tcBorders>
              <w:top w:space="0" w:sz="6" w:color="auto" w:val="single"/>
              <w:left w:space="0" w:sz="6" w:color="auto" w:val="single"/>
              <w:bottom w:space="0" w:sz="6" w:color="auto" w:val="single"/>
              <w:right w:space="0" w:sz="6" w:color="auto" w:val="single"/>
            </w:tcBorders>
            <w:shd w:fill="auto" w:color="33CCCC"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r>
              <w:rPr>
                <w:b/>
                <w:bCs/>
                <w:color w:val="000000"/>
                <w:sz w:val="16"/>
                <w:szCs w:val="16"/>
              </w:rPr>
              <w:t>IZNOS TRAŽBINE PREMA PRIJAVI VJEROVNIKA</w:t>
            </w:r>
          </w:p>
        </w:tc>
        <w:tc>
          <w:tcPr>
            <w:tcW w:type="dxa" w:w="993"/>
            <w:tcBorders>
              <w:top w:space="0" w:sz="6" w:color="auto" w:val="single"/>
              <w:left w:space="0" w:sz="6" w:color="auto" w:val="single"/>
              <w:bottom w:space="0" w:sz="6" w:color="auto" w:val="single"/>
              <w:right w:space="0" w:sz="6" w:color="auto" w:val="single"/>
            </w:tcBorders>
            <w:shd w:fill="auto" w:color="33CCCC"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r>
              <w:rPr>
                <w:b/>
                <w:bCs/>
                <w:color w:val="000000"/>
                <w:sz w:val="16"/>
                <w:szCs w:val="16"/>
              </w:rPr>
              <w:t>UTVRĐENI IZNOS TRAŽBINE</w:t>
            </w:r>
          </w:p>
        </w:tc>
        <w:tc>
          <w:tcPr>
            <w:tcW w:type="dxa" w:w="852"/>
            <w:tcBorders>
              <w:top w:space="0" w:sz="6" w:color="auto" w:val="single"/>
              <w:left w:space="0" w:sz="6" w:color="auto" w:val="single"/>
              <w:bottom w:space="0" w:sz="6" w:color="auto" w:val="single"/>
              <w:right w:space="0" w:sz="6" w:color="auto" w:val="single"/>
            </w:tcBorders>
            <w:shd w:fill="auto" w:color="33CCCC"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r>
              <w:rPr>
                <w:b/>
                <w:bCs/>
                <w:color w:val="000000"/>
                <w:sz w:val="16"/>
                <w:szCs w:val="16"/>
              </w:rPr>
              <w:t>Mjesečni iznos anuiteta</w:t>
            </w:r>
          </w:p>
        </w:tc>
        <w:tc>
          <w:tcPr>
            <w:tcW w:type="dxa" w:w="1416"/>
            <w:tcBorders>
              <w:top w:space="0" w:sz="6" w:color="auto" w:val="single"/>
              <w:left w:space="0" w:sz="6" w:color="auto" w:val="single"/>
              <w:bottom w:space="0" w:sz="6" w:color="auto" w:val="single"/>
              <w:right w:space="0" w:sz="6" w:color="auto" w:val="single"/>
            </w:tcBorders>
            <w:shd w:fill="auto" w:color="33CCCC"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r>
              <w:rPr>
                <w:b/>
                <w:bCs/>
                <w:color w:val="000000"/>
                <w:sz w:val="16"/>
                <w:szCs w:val="16"/>
              </w:rPr>
              <w:t>Dospijeće plaćanja</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7350499058</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AGROFRUCTUS društvo s ograničenom odgovornošću za proizvodnju, preradu i otkup voća i povrća</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Industrijska zona Janjevci 6, Donji Miholjac</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495.471,60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495.471,60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13.763,10</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lastRenderedPageBreak/>
              <w:t>2</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67793044823</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AGRONOM društvo s ograničenom odgovornošću za trgovinu na malo i veliko</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Zagrebačka 171, Požega</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235.588,83</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235.588,83</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6.544,13</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3</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71227367665</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DINKO BELEG</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KRALJA TOMISLAVA 88, SUHOPOLJE</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450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450,00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12,50</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4</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06962176214</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DOMUS BAU CENTAR d.o.o. za trgovinu i usluge</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 xml:space="preserve">Kolarove Breze 12, </w:t>
            </w:r>
            <w:proofErr w:type="spellStart"/>
            <w:r>
              <w:rPr>
                <w:color w:val="000000"/>
                <w:sz w:val="16"/>
                <w:szCs w:val="16"/>
              </w:rPr>
              <w:t>Botinec</w:t>
            </w:r>
            <w:proofErr w:type="spellEnd"/>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2.230,00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2.230,00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61,94</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5</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31132397440</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FAMILY - TRADE društvo s ograničenom odgovornošću za usluge, trgovinu i proizvodnju</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Braće Radića 14, Grubišno Polje</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1.000,00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1.000,00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27,78</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lastRenderedPageBreak/>
              <w:t>6</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85821130368</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Financijska agencija</w:t>
            </w:r>
          </w:p>
        </w:tc>
        <w:tc>
          <w:tcPr>
            <w:tcW w:type="dxa" w:w="1940"/>
            <w:gridSpan w:val="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Ulica grada Vukovara 70, Zagreb</w:t>
            </w:r>
          </w:p>
        </w:tc>
        <w:tc>
          <w:tcPr>
            <w:tcW w:type="dxa" w:w="117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5.351,38</w:t>
            </w: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5.351,38</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148,65</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7</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00572751597</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SINIŠA LJULJ</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Osječka 80, Virovitica</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2.320,00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2.320,00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64,44</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8</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88891725894</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ŽELJKO MARTIĆ</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ALOJZIJA STEPINCA 83, Lipovac</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3.300,00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3.300,00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91,67</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9</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18683136487</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REPUBLIKA HRVATSKA MINISTARSTVO FINANCIJA</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KATANČIĆEVA 5, Zagreb</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4.425,02</w:t>
            </w:r>
          </w:p>
        </w:tc>
        <w:tc>
          <w:tcPr>
            <w:tcW w:type="dxa" w:w="117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2.109,66</w:t>
            </w: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2.109,66</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58,60</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lastRenderedPageBreak/>
              <w:t>10</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75252032675</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SOFIJA SANTRO</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Stjepana Radića  136 a, Virovitica</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625</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625,00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17,36</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11</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54188582756</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MILE SOLDO</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 xml:space="preserve">ZASEOK GRGURICE 11A, </w:t>
            </w:r>
            <w:proofErr w:type="spellStart"/>
            <w:r>
              <w:rPr>
                <w:color w:val="000000"/>
                <w:sz w:val="16"/>
                <w:szCs w:val="16"/>
              </w:rPr>
              <w:t>Posedarje</w:t>
            </w:r>
            <w:proofErr w:type="spellEnd"/>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1.100,00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1.100,00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30,56</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12</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62573694417</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VOĆARSTVO d.o.o. za preradu i poljoprivredu</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 xml:space="preserve">Zaseok </w:t>
            </w:r>
            <w:proofErr w:type="spellStart"/>
            <w:r>
              <w:rPr>
                <w:color w:val="000000"/>
                <w:sz w:val="16"/>
                <w:szCs w:val="16"/>
              </w:rPr>
              <w:t>Grgurice</w:t>
            </w:r>
            <w:proofErr w:type="spellEnd"/>
            <w:r>
              <w:rPr>
                <w:color w:val="000000"/>
                <w:sz w:val="16"/>
                <w:szCs w:val="16"/>
              </w:rPr>
              <w:t xml:space="preserve"> 11/A, Islam Latinski-dio</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1.050,20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1.050,20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29,17</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13</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71050079377</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VOĆARSTVO i VINOGRADARSTVO d.o.o. za poljoprivredu, proizvodnju i trgovinu</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 xml:space="preserve">Ante Starčevića 53, </w:t>
            </w:r>
            <w:proofErr w:type="spellStart"/>
            <w:r>
              <w:rPr>
                <w:color w:val="000000"/>
                <w:sz w:val="16"/>
                <w:szCs w:val="16"/>
              </w:rPr>
              <w:t>Posedarje</w:t>
            </w:r>
            <w:proofErr w:type="spellEnd"/>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1.520,50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1.520,50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42,24</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lastRenderedPageBreak/>
              <w:t>14</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69665097030</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TIHOMIR VOLIĆ</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Vladimira Nazora 15, Garešnica</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625</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625,00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17,36</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1606"/>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15</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48092682308</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ZANATPROMET-TRGOVINA d.o.o. za trgovinu, proizvodnju i usluge</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proofErr w:type="spellStart"/>
            <w:r>
              <w:rPr>
                <w:color w:val="000000"/>
                <w:sz w:val="16"/>
                <w:szCs w:val="16"/>
              </w:rPr>
              <w:t>Štrosmajerova</w:t>
            </w:r>
            <w:proofErr w:type="spellEnd"/>
            <w:r>
              <w:rPr>
                <w:color w:val="000000"/>
                <w:sz w:val="16"/>
                <w:szCs w:val="16"/>
              </w:rPr>
              <w:t xml:space="preserve"> 4, Virovitica</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66,45</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66,45</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1,85</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15-tog u mjesecu, 12 mjeseci nakon pravomoćnosti Rješenja Trgovačkog suda o sklopljenom </w:t>
            </w:r>
            <w:proofErr w:type="spellStart"/>
            <w:r>
              <w:rPr>
                <w:color w:val="000000"/>
                <w:sz w:val="16"/>
                <w:szCs w:val="16"/>
              </w:rPr>
              <w:t>predstečajnom</w:t>
            </w:r>
            <w:proofErr w:type="spellEnd"/>
            <w:r>
              <w:rPr>
                <w:color w:val="000000"/>
                <w:sz w:val="16"/>
                <w:szCs w:val="16"/>
              </w:rPr>
              <w:t xml:space="preserve"> sporazumu, dok će se svaki naredni anuitet platiti mjesečno , najkasnije do 15-tog u mjesecu za prethodni mjesec</w:t>
            </w:r>
          </w:p>
        </w:tc>
      </w:tr>
      <w:tr w:rsidTr="00F76EFB" w:rsidR="00F76EFB">
        <w:trPr>
          <w:trHeight w:val="2189"/>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16</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87064273078</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HETA </w:t>
            </w:r>
            <w:proofErr w:type="spellStart"/>
            <w:r>
              <w:rPr>
                <w:color w:val="000000"/>
                <w:sz w:val="16"/>
                <w:szCs w:val="16"/>
              </w:rPr>
              <w:t>Asset</w:t>
            </w:r>
            <w:proofErr w:type="spellEnd"/>
            <w:r>
              <w:rPr>
                <w:color w:val="000000"/>
                <w:sz w:val="16"/>
                <w:szCs w:val="16"/>
              </w:rPr>
              <w:t xml:space="preserve"> </w:t>
            </w:r>
            <w:proofErr w:type="spellStart"/>
            <w:r>
              <w:rPr>
                <w:color w:val="000000"/>
                <w:sz w:val="16"/>
                <w:szCs w:val="16"/>
              </w:rPr>
              <w:t>Resolution</w:t>
            </w:r>
            <w:proofErr w:type="spellEnd"/>
            <w:r>
              <w:rPr>
                <w:color w:val="000000"/>
                <w:sz w:val="16"/>
                <w:szCs w:val="16"/>
              </w:rPr>
              <w:t xml:space="preserve"> Hrvatska, društvo za financiranje d.o.o.</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Slavonska avenija 6/a, Zagreb</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230.000,00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230.000,00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6.388,89</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otplatiti će se nakon isteka počeka od 12 mjeseci na 36 jednakih mjesečnih anuiteta, bez kamata, računajući od dana nastanka regresnog prava. Prvi anuitet će se platiti 15-tog u mjesecu, 12 mjeseci nakon nastupa regresnog prava, dok će se svaki naredni anuitet platiti mjesečno , najkasnije do 15-tog u mjesecu za prethodni mjesec</w:t>
            </w:r>
          </w:p>
        </w:tc>
      </w:tr>
      <w:tr w:rsidTr="00F76EFB" w:rsidR="00F76EFB">
        <w:trPr>
          <w:trHeight w:val="2189"/>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17</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46550671661</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Erste &amp; </w:t>
            </w:r>
            <w:proofErr w:type="spellStart"/>
            <w:r>
              <w:rPr>
                <w:color w:val="000000"/>
                <w:sz w:val="16"/>
                <w:szCs w:val="16"/>
              </w:rPr>
              <w:t>Steiermärkische</w:t>
            </w:r>
            <w:proofErr w:type="spellEnd"/>
            <w:r>
              <w:rPr>
                <w:color w:val="000000"/>
                <w:sz w:val="16"/>
                <w:szCs w:val="16"/>
              </w:rPr>
              <w:t xml:space="preserve"> S-</w:t>
            </w:r>
            <w:proofErr w:type="spellStart"/>
            <w:r>
              <w:rPr>
                <w:color w:val="000000"/>
                <w:sz w:val="16"/>
                <w:szCs w:val="16"/>
              </w:rPr>
              <w:t>Leasing</w:t>
            </w:r>
            <w:proofErr w:type="spellEnd"/>
            <w:r>
              <w:rPr>
                <w:color w:val="000000"/>
                <w:sz w:val="16"/>
                <w:szCs w:val="16"/>
              </w:rPr>
              <w:t xml:space="preserve"> društvo s ograničenom odgovornošću za </w:t>
            </w:r>
            <w:proofErr w:type="spellStart"/>
            <w:r>
              <w:rPr>
                <w:color w:val="000000"/>
                <w:sz w:val="16"/>
                <w:szCs w:val="16"/>
              </w:rPr>
              <w:t>leasing</w:t>
            </w:r>
            <w:proofErr w:type="spellEnd"/>
            <w:r>
              <w:rPr>
                <w:color w:val="000000"/>
                <w:sz w:val="16"/>
                <w:szCs w:val="16"/>
              </w:rPr>
              <w:t xml:space="preserve"> vozila i strojeva</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Zelinska 3, Zagreb</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45.000,00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45.000,00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1.250,00</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otplatiti će se nakon isteka počeka od 12 mjeseci na 36 jednakih mjesečnih anuiteta, bez kamata, računajući od dana nastanka regresnog prava. Prvi anuitet će se platiti 15-tog u mjesecu, 12 mjeseci nakon nastupa regresnog prava, dok će se svaki naredni anuitet platiti </w:t>
            </w:r>
            <w:r>
              <w:rPr>
                <w:color w:val="000000"/>
                <w:sz w:val="16"/>
                <w:szCs w:val="16"/>
              </w:rPr>
              <w:lastRenderedPageBreak/>
              <w:t>mjesečno , najkasnije do 15-tog u mjesecu za prethodni mjesec</w:t>
            </w:r>
          </w:p>
        </w:tc>
      </w:tr>
      <w:tr w:rsidTr="00F76EFB" w:rsidR="00F76EFB">
        <w:trPr>
          <w:trHeight w:val="2189"/>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lastRenderedPageBreak/>
              <w:t>18</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23057039320</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ERSTE&amp;STEIERMÄRKISCHE BANKA dioničko društvo</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Jadranski Trg 3a, Zagreb</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110.000,00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110.000,00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3.055,56</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otplatiti će se nakon isteka počeka od 12 mjeseci na 36 jednakih mjesečnih anuiteta, bez kamata, računajući od dana nastanka regresnog prava. Prvi anuitet će se platiti 15-tog u mjesecu, 12 mjeseci nakon nastupa regresnog prava, dok će se svaki naredni anuitet platiti mjesečno , najkasnije do 15-tog u mjesecu za prethodni mjesec</w:t>
            </w:r>
          </w:p>
        </w:tc>
      </w:tr>
      <w:tr w:rsidTr="00F76EFB" w:rsidR="00F76EFB">
        <w:trPr>
          <w:trHeight w:val="2189"/>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19</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66415152840</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MIRKO KRZNARIĆ</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Zagrebačka 20, </w:t>
            </w:r>
            <w:proofErr w:type="spellStart"/>
            <w:r>
              <w:rPr>
                <w:color w:val="000000"/>
                <w:sz w:val="16"/>
                <w:szCs w:val="16"/>
              </w:rPr>
              <w:t>Čemernica</w:t>
            </w:r>
            <w:proofErr w:type="spellEnd"/>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385.000,00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385.000,00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10.694,44</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otplatiti će se nakon isteka počeka od 12 mjeseci na 36 jednakih mjesečnih anuiteta, bez kamata, računajući od dana nastanka regresnog prava. Prvi anuitet će se platiti 15-tog u mjesecu, 12 mjeseci nakon nastupa regresnog prava, dok će se svaki naredni anuitet platiti mjesečno , najkasnije do 15-tog u mjesecu za prethodni mjesec</w:t>
            </w:r>
          </w:p>
        </w:tc>
      </w:tr>
      <w:tr w:rsidTr="00F76EFB" w:rsidR="00F76EFB">
        <w:trPr>
          <w:trHeight w:val="2189"/>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20</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70363310474</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LMK PROMET društvo s ograničenom odgovornošću za proizvodnju i trgovinu</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 xml:space="preserve">Odvojak ulice slobode </w:t>
            </w:r>
            <w:proofErr w:type="spellStart"/>
            <w:r>
              <w:rPr>
                <w:color w:val="000000"/>
                <w:sz w:val="16"/>
                <w:szCs w:val="16"/>
              </w:rPr>
              <w:t>bb</w:t>
            </w:r>
            <w:proofErr w:type="spellEnd"/>
            <w:r>
              <w:rPr>
                <w:color w:val="000000"/>
                <w:sz w:val="16"/>
                <w:szCs w:val="16"/>
              </w:rPr>
              <w:t xml:space="preserve">, </w:t>
            </w:r>
            <w:proofErr w:type="spellStart"/>
            <w:r>
              <w:rPr>
                <w:color w:val="000000"/>
                <w:sz w:val="16"/>
                <w:szCs w:val="16"/>
              </w:rPr>
              <w:t>Drenčec</w:t>
            </w:r>
            <w:proofErr w:type="spellEnd"/>
            <w:r>
              <w:rPr>
                <w:color w:val="000000"/>
                <w:sz w:val="16"/>
                <w:szCs w:val="16"/>
              </w:rPr>
              <w:t>, Grad Zagreb</w:t>
            </w:r>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790.000,00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790.000,00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21.944,44</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 xml:space="preserve">otplatiti će se nakon isteka počeka od 12 mjeseci na 36 jednakih mjesečnih anuiteta, bez kamata, računajući od dana nastanka regresnog prava. Prvi anuitet će se platiti 15-tog u mjesecu, 12 mjeseci nakon nastupa regresnog prava, dok će se svaki naredni anuitet platiti </w:t>
            </w:r>
            <w:r>
              <w:rPr>
                <w:color w:val="000000"/>
                <w:sz w:val="16"/>
                <w:szCs w:val="16"/>
              </w:rPr>
              <w:lastRenderedPageBreak/>
              <w:t>mjesečno , najkasnije do 15-tog u mjesecu za prethodni mjesec</w:t>
            </w:r>
          </w:p>
        </w:tc>
      </w:tr>
      <w:tr w:rsidTr="00F76EFB" w:rsidR="00F76EFB">
        <w:trPr>
          <w:trHeight w:val="2189"/>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lastRenderedPageBreak/>
              <w:t>21</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63300979658</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MD PROMET j.d.o.o. za proizvodnju i trgovinu</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 xml:space="preserve">Zagrebačka 20, </w:t>
            </w:r>
            <w:proofErr w:type="spellStart"/>
            <w:r>
              <w:rPr>
                <w:color w:val="000000"/>
                <w:sz w:val="16"/>
                <w:szCs w:val="16"/>
              </w:rPr>
              <w:t>Čemernica</w:t>
            </w:r>
            <w:proofErr w:type="spellEnd"/>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570.000,00</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570.000,00</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15.833,33</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otplatiti će se nakon isteka počeka od 12 mjeseci na 36 jednakih mjesečnih anuiteta, bez kamata, računajući od dana nastanka regresnog prava. Prvi anuitet će se platiti 15-tog u mjesecu, 12 mjeseci nakon nastupa regresnog prava, dok će se svaki naredni anuitet platiti mjesečno , najkasnije do 15-tog u mjesecu za prethodni mjesec</w:t>
            </w:r>
          </w:p>
        </w:tc>
      </w:tr>
      <w:tr w:rsidTr="00F76EFB" w:rsidR="00F76EFB">
        <w:trPr>
          <w:trHeight w:val="2189"/>
        </w:trPr>
        <w:tc>
          <w:tcPr>
            <w:tcW w:type="dxa" w:w="34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22</w:t>
            </w:r>
          </w:p>
        </w:tc>
        <w:tc>
          <w:tcPr>
            <w:tcW w:type="dxa" w:w="1221"/>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12970353118</w:t>
            </w:r>
          </w:p>
        </w:tc>
        <w:tc>
          <w:tcPr>
            <w:tcW w:type="dxa" w:w="1327"/>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DAVOR KRZNARIĆ</w:t>
            </w:r>
          </w:p>
        </w:tc>
        <w:tc>
          <w:tcPr>
            <w:tcW w:type="dxa" w:w="1105"/>
            <w:gridSpan w:val="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rPr>
                <w:rFonts w:cs="Times New Roman" w:eastAsia="Times New Roman"/>
                <w:color w:val="000000"/>
                <w:sz w:val="16"/>
                <w:szCs w:val="16"/>
              </w:rPr>
            </w:pPr>
            <w:r>
              <w:rPr>
                <w:color w:val="000000"/>
                <w:sz w:val="16"/>
                <w:szCs w:val="16"/>
              </w:rPr>
              <w:t xml:space="preserve">Zagrebačka 20, </w:t>
            </w:r>
            <w:proofErr w:type="spellStart"/>
            <w:r>
              <w:rPr>
                <w:color w:val="000000"/>
                <w:sz w:val="16"/>
                <w:szCs w:val="16"/>
              </w:rPr>
              <w:t>Čemernica</w:t>
            </w:r>
            <w:proofErr w:type="spellEnd"/>
          </w:p>
        </w:tc>
        <w:tc>
          <w:tcPr>
            <w:tcW w:type="dxa" w:w="835"/>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3.580.523,41</w:t>
            </w:r>
          </w:p>
        </w:tc>
        <w:tc>
          <w:tcPr>
            <w:tcW w:type="dxa" w:w="1176"/>
            <w:tcBorders>
              <w:top w:space="0" w:sz="6" w:color="auto" w:val="single"/>
              <w:left w:space="0" w:sz="6" w:color="auto" w:val="single"/>
              <w:bottom w:space="0" w:sz="6" w:color="auto" w:val="single"/>
              <w:right w:space="0" w:sz="6" w:color="auto" w:val="single"/>
            </w:tcBorders>
          </w:tcPr>
          <w:p w:rsidRDefault="00F76EFB" w:rsidR="00F76EFB">
            <w:pPr>
              <w:autoSpaceDE w:val="false"/>
              <w:autoSpaceDN w:val="false"/>
              <w:adjustRightInd w:val="false"/>
              <w:spacing w:lineRule="auto" w:line="276"/>
              <w:jc w:val="right"/>
              <w:rPr>
                <w:rFonts w:cs="Times New Roman" w:eastAsia="Times New Roman"/>
                <w:color w:val="000000"/>
                <w:sz w:val="16"/>
                <w:szCs w:val="16"/>
              </w:rPr>
            </w:pPr>
          </w:p>
        </w:tc>
        <w:tc>
          <w:tcPr>
            <w:tcW w:type="dxa" w:w="993"/>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3.580.523,41</w:t>
            </w:r>
          </w:p>
        </w:tc>
        <w:tc>
          <w:tcPr>
            <w:tcW w:type="dxa" w:w="852"/>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99.458,98</w:t>
            </w:r>
          </w:p>
        </w:tc>
        <w:tc>
          <w:tcPr>
            <w:tcW w:type="dxa" w:w="1416"/>
            <w:tcBorders>
              <w:top w:space="0" w:sz="6" w:color="auto" w:val="single"/>
              <w:left w:space="0" w:sz="6" w:color="auto" w:val="single"/>
              <w:bottom w:space="0" w:sz="6" w:color="auto" w:val="single"/>
              <w:right w:space="0" w:sz="6" w:color="auto" w:val="single"/>
            </w:tcBorders>
            <w:hideMark/>
          </w:tcPr>
          <w:p w:rsidRDefault="00F76EFB" w:rsidR="00F76EFB">
            <w:pPr>
              <w:autoSpaceDE w:val="false"/>
              <w:autoSpaceDN w:val="false"/>
              <w:adjustRightInd w:val="false"/>
              <w:spacing w:lineRule="auto" w:line="276"/>
              <w:jc w:val="center"/>
              <w:rPr>
                <w:rFonts w:cs="Times New Roman" w:eastAsia="Times New Roman"/>
                <w:color w:val="000000"/>
                <w:sz w:val="16"/>
                <w:szCs w:val="16"/>
              </w:rPr>
            </w:pPr>
            <w:r>
              <w:rPr>
                <w:color w:val="000000"/>
                <w:sz w:val="16"/>
                <w:szCs w:val="16"/>
              </w:rPr>
              <w:t>otplatiti će se nakon isteka počeka od 12 mjeseci na 36 jednakih mjesečnih anuiteta, bez kamata, računajući od dana nastanka regresnog prava. Prvi anuitet će se platiti 15-tog u mjesecu, 12 mjeseci nakon nastupa regresnog prava, dok će se svaki naredni anuitet platiti mjesečno , najkasnije do 15-tog u mjesecu za prethodni mjesec</w:t>
            </w:r>
          </w:p>
        </w:tc>
      </w:tr>
      <w:tr w:rsidTr="00F76EFB" w:rsidR="00F76EFB">
        <w:trPr>
          <w:trHeight w:val="370"/>
        </w:trPr>
        <w:tc>
          <w:tcPr>
            <w:tcW w:type="dxa" w:w="346"/>
            <w:tcBorders>
              <w:top w:space="0" w:sz="6" w:color="auto" w:val="single"/>
              <w:left w:space="0" w:sz="6" w:color="auto" w:val="single"/>
              <w:bottom w:space="0" w:sz="6" w:color="auto" w:val="single"/>
              <w:right w:space="0" w:sz="6" w:color="auto" w:val="single"/>
            </w:tcBorders>
            <w:shd w:fill="auto" w:color="0066CC" w:val="solid"/>
          </w:tcPr>
          <w:p w:rsidRDefault="00F76EFB" w:rsidR="00F76EFB">
            <w:pPr>
              <w:autoSpaceDE w:val="false"/>
              <w:autoSpaceDN w:val="false"/>
              <w:adjustRightInd w:val="false"/>
              <w:spacing w:lineRule="auto" w:line="276"/>
              <w:jc w:val="right"/>
              <w:rPr>
                <w:rFonts w:cs="Times New Roman" w:eastAsia="Times New Roman"/>
                <w:b/>
                <w:bCs/>
                <w:color w:val="000000"/>
                <w:sz w:val="16"/>
                <w:szCs w:val="16"/>
              </w:rPr>
            </w:pPr>
          </w:p>
        </w:tc>
        <w:tc>
          <w:tcPr>
            <w:tcW w:type="dxa" w:w="1221"/>
            <w:tcBorders>
              <w:top w:space="0" w:sz="6" w:color="auto" w:val="single"/>
              <w:left w:space="0" w:sz="6" w:color="auto" w:val="single"/>
              <w:bottom w:space="0" w:sz="6" w:color="auto" w:val="single"/>
              <w:right w:space="0" w:sz="6" w:color="auto" w:val="single"/>
            </w:tcBorders>
            <w:shd w:fill="auto" w:color="0066CC" w:val="solid"/>
          </w:tcPr>
          <w:p w:rsidRDefault="00F76EFB" w:rsidR="00F76EFB">
            <w:pPr>
              <w:autoSpaceDE w:val="false"/>
              <w:autoSpaceDN w:val="false"/>
              <w:adjustRightInd w:val="false"/>
              <w:spacing w:lineRule="auto" w:line="276"/>
              <w:jc w:val="right"/>
              <w:rPr>
                <w:rFonts w:cs="Times New Roman" w:eastAsia="Times New Roman"/>
                <w:b/>
                <w:bCs/>
                <w:color w:val="000000"/>
                <w:sz w:val="16"/>
                <w:szCs w:val="16"/>
              </w:rPr>
            </w:pPr>
          </w:p>
        </w:tc>
        <w:tc>
          <w:tcPr>
            <w:tcW w:type="dxa" w:w="1327"/>
            <w:tcBorders>
              <w:top w:space="0" w:sz="6" w:color="auto" w:val="single"/>
              <w:left w:space="0" w:sz="6" w:color="auto" w:val="single"/>
              <w:bottom w:space="0" w:sz="6" w:color="auto" w:val="single"/>
              <w:right w:space="0" w:sz="6" w:color="auto" w:val="single"/>
            </w:tcBorders>
            <w:shd w:fill="auto" w:color="0066CC" w:val="solid"/>
          </w:tcPr>
          <w:p w:rsidRDefault="00F76EFB" w:rsidR="00F76EFB">
            <w:pPr>
              <w:autoSpaceDE w:val="false"/>
              <w:autoSpaceDN w:val="false"/>
              <w:adjustRightInd w:val="false"/>
              <w:spacing w:lineRule="auto" w:line="276"/>
              <w:jc w:val="right"/>
              <w:rPr>
                <w:rFonts w:cs="Times New Roman" w:eastAsia="Times New Roman"/>
                <w:b/>
                <w:bCs/>
                <w:color w:val="000000"/>
                <w:sz w:val="16"/>
                <w:szCs w:val="16"/>
              </w:rPr>
            </w:pPr>
          </w:p>
        </w:tc>
        <w:tc>
          <w:tcPr>
            <w:tcW w:type="dxa" w:w="1025"/>
            <w:tcBorders>
              <w:top w:space="0" w:sz="6" w:color="auto" w:val="single"/>
              <w:left w:space="0" w:sz="6" w:color="auto" w:val="single"/>
              <w:bottom w:space="0" w:sz="6" w:color="auto" w:val="single"/>
              <w:right w:space="0" w:sz="6" w:color="auto" w:val="single"/>
            </w:tcBorders>
            <w:shd w:fill="auto" w:color="0066CC"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r>
              <w:rPr>
                <w:b/>
                <w:bCs/>
                <w:color w:val="000000"/>
                <w:sz w:val="16"/>
                <w:szCs w:val="16"/>
              </w:rPr>
              <w:t>UKUPNO</w:t>
            </w:r>
          </w:p>
        </w:tc>
        <w:tc>
          <w:tcPr>
            <w:tcW w:type="dxa" w:w="80"/>
            <w:tcBorders>
              <w:top w:space="0" w:sz="6" w:color="auto" w:val="single"/>
              <w:left w:space="0" w:sz="6" w:color="auto" w:val="single"/>
              <w:bottom w:space="0" w:sz="6" w:color="auto" w:val="single"/>
              <w:right w:space="0" w:sz="6" w:color="auto" w:val="single"/>
            </w:tcBorders>
            <w:shd w:fill="auto" w:color="333399" w:val="solid"/>
          </w:tcPr>
          <w:p w:rsidRDefault="00F76EFB" w:rsidR="00F76EFB">
            <w:pPr>
              <w:autoSpaceDE w:val="false"/>
              <w:autoSpaceDN w:val="false"/>
              <w:adjustRightInd w:val="false"/>
              <w:spacing w:lineRule="auto" w:line="276"/>
              <w:jc w:val="right"/>
              <w:rPr>
                <w:rFonts w:cs="Times New Roman" w:eastAsia="Times New Roman"/>
                <w:b/>
                <w:bCs/>
                <w:color w:val="000000"/>
                <w:sz w:val="16"/>
                <w:szCs w:val="16"/>
              </w:rPr>
            </w:pPr>
          </w:p>
        </w:tc>
        <w:tc>
          <w:tcPr>
            <w:tcW w:type="dxa" w:w="835"/>
            <w:tcBorders>
              <w:top w:space="0" w:sz="6" w:color="auto" w:val="single"/>
              <w:left w:space="0" w:sz="6" w:color="auto" w:val="single"/>
              <w:bottom w:space="0" w:sz="6" w:color="auto" w:val="single"/>
              <w:right w:space="0" w:sz="6" w:color="auto" w:val="single"/>
            </w:tcBorders>
            <w:shd w:fill="auto" w:color="333399" w:val="solid"/>
          </w:tcPr>
          <w:p w:rsidRDefault="00F76EFB" w:rsidR="00F76EFB">
            <w:pPr>
              <w:autoSpaceDE w:val="false"/>
              <w:autoSpaceDN w:val="false"/>
              <w:adjustRightInd w:val="false"/>
              <w:spacing w:lineRule="auto" w:line="276"/>
              <w:jc w:val="right"/>
              <w:rPr>
                <w:rFonts w:cs="Times New Roman" w:eastAsia="Times New Roman"/>
                <w:b/>
                <w:bCs/>
                <w:color w:val="000000"/>
                <w:sz w:val="16"/>
                <w:szCs w:val="16"/>
              </w:rPr>
            </w:pPr>
          </w:p>
        </w:tc>
        <w:tc>
          <w:tcPr>
            <w:tcW w:type="dxa" w:w="1176"/>
            <w:tcBorders>
              <w:top w:space="0" w:sz="6" w:color="auto" w:val="single"/>
              <w:left w:space="0" w:sz="6" w:color="auto" w:val="single"/>
              <w:bottom w:space="0" w:sz="6" w:color="auto" w:val="single"/>
              <w:right w:space="0" w:sz="6" w:color="auto" w:val="single"/>
            </w:tcBorders>
            <w:shd w:fill="auto" w:color="333399" w:val="solid"/>
          </w:tcPr>
          <w:p w:rsidRDefault="00F76EFB" w:rsidR="00F76EFB">
            <w:pPr>
              <w:autoSpaceDE w:val="false"/>
              <w:autoSpaceDN w:val="false"/>
              <w:adjustRightInd w:val="false"/>
              <w:spacing w:lineRule="auto" w:line="276"/>
              <w:jc w:val="right"/>
              <w:rPr>
                <w:rFonts w:cs="Times New Roman" w:eastAsia="Times New Roman"/>
                <w:b/>
                <w:bCs/>
                <w:color w:val="000000"/>
                <w:sz w:val="16"/>
                <w:szCs w:val="16"/>
              </w:rPr>
            </w:pPr>
          </w:p>
        </w:tc>
        <w:tc>
          <w:tcPr>
            <w:tcW w:type="dxa" w:w="993"/>
            <w:tcBorders>
              <w:top w:space="0" w:sz="6" w:color="auto" w:val="single"/>
              <w:left w:space="0" w:sz="6" w:color="auto" w:val="single"/>
              <w:bottom w:space="0" w:sz="6" w:color="auto" w:val="single"/>
              <w:right w:space="0" w:sz="6" w:color="auto" w:val="single"/>
            </w:tcBorders>
            <w:shd w:fill="auto" w:color="333399"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r>
              <w:rPr>
                <w:b/>
                <w:bCs/>
                <w:color w:val="000000"/>
                <w:sz w:val="16"/>
                <w:szCs w:val="16"/>
              </w:rPr>
              <w:t>6.463.332,03</w:t>
            </w:r>
          </w:p>
        </w:tc>
        <w:tc>
          <w:tcPr>
            <w:tcW w:type="dxa" w:w="852"/>
            <w:tcBorders>
              <w:top w:space="0" w:sz="6" w:color="auto" w:val="single"/>
              <w:left w:space="0" w:sz="6" w:color="auto" w:val="single"/>
              <w:bottom w:space="0" w:sz="6" w:color="auto" w:val="single"/>
              <w:right w:space="0" w:sz="6" w:color="auto" w:val="single"/>
            </w:tcBorders>
            <w:shd w:fill="auto" w:color="333399" w:val="solid"/>
            <w:hideMark/>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r>
              <w:rPr>
                <w:b/>
                <w:bCs/>
                <w:color w:val="000000"/>
                <w:sz w:val="16"/>
                <w:szCs w:val="16"/>
              </w:rPr>
              <w:t>179.537,00</w:t>
            </w:r>
          </w:p>
        </w:tc>
        <w:tc>
          <w:tcPr>
            <w:tcW w:type="dxa" w:w="1416"/>
            <w:tcBorders>
              <w:top w:space="0" w:sz="6" w:color="auto" w:val="single"/>
              <w:left w:space="0" w:sz="6" w:color="auto" w:val="single"/>
              <w:bottom w:space="0" w:sz="6" w:color="auto" w:val="single"/>
              <w:right w:space="0" w:sz="6" w:color="auto" w:val="single"/>
            </w:tcBorders>
            <w:shd w:fill="auto" w:color="333399" w:val="solid"/>
          </w:tcPr>
          <w:p w:rsidRDefault="00F76EFB" w:rsidR="00F76EFB">
            <w:pPr>
              <w:autoSpaceDE w:val="false"/>
              <w:autoSpaceDN w:val="false"/>
              <w:adjustRightInd w:val="false"/>
              <w:spacing w:lineRule="auto" w:line="276"/>
              <w:jc w:val="center"/>
              <w:rPr>
                <w:rFonts w:cs="Times New Roman" w:eastAsia="Times New Roman"/>
                <w:b/>
                <w:bCs/>
                <w:color w:val="000000"/>
                <w:sz w:val="16"/>
                <w:szCs w:val="16"/>
              </w:rPr>
            </w:pPr>
          </w:p>
        </w:tc>
      </w:tr>
    </w:tbl>
    <w:p w:rsidRDefault="00F76EFB" w:rsidP="00F76EFB" w:rsidR="00F76EFB">
      <w:pPr>
        <w:pStyle w:val="Bezproreda"/>
        <w:rPr>
          <w:rFonts w:cs="Arial" w:eastAsia="MS Mincho" w:hAnsi="Arial" w:ascii="Arial"/>
          <w:kern w:val="3"/>
          <w:lang w:bidi="hi-IN" w:eastAsia="en-US"/>
        </w:rPr>
      </w:pPr>
    </w:p>
    <w:p w:rsidRDefault="00F76EFB" w:rsidP="00F76EFB" w:rsidR="00F76EFB">
      <w:pPr>
        <w:pStyle w:val="Bezproreda"/>
      </w:pPr>
    </w:p>
    <w:p w:rsidRDefault="00F76EFB" w:rsidP="00F76EFB" w:rsidR="00F76EFB">
      <w:pPr>
        <w:pStyle w:val="Bezproreda"/>
      </w:pPr>
      <w:r>
        <w:t xml:space="preserve">                                                   O b r a z l o ž e n j e</w:t>
      </w:r>
    </w:p>
    <w:p w:rsidRDefault="00F76EFB" w:rsidP="00F76EFB" w:rsidR="00F76EFB">
      <w:pPr>
        <w:pStyle w:val="Bezproreda"/>
      </w:pPr>
    </w:p>
    <w:p w:rsidRDefault="00F76EFB" w:rsidP="00F76EFB" w:rsidR="00F76EFB">
      <w:pPr>
        <w:pStyle w:val="Bezproreda"/>
      </w:pPr>
      <w:r>
        <w:t xml:space="preserve">Prijedlog za otvaranje </w:t>
      </w:r>
      <w:proofErr w:type="spellStart"/>
      <w:r>
        <w:t>predstečajnog</w:t>
      </w:r>
      <w:proofErr w:type="spellEnd"/>
      <w:r>
        <w:t xml:space="preserve"> postupka podnio je dužnik  dana 2. siječnja 2017.godine.</w:t>
      </w:r>
    </w:p>
    <w:p w:rsidRDefault="00F76EFB" w:rsidP="00F76EFB" w:rsidR="00F76EFB">
      <w:pPr>
        <w:pStyle w:val="Bezproreda"/>
      </w:pPr>
      <w:r>
        <w:t xml:space="preserve">Nakon što je izvršeno prijavljivanje tražbina iste su ispitane na ročištu 2. ožujka 2017.godine, a što je utvrđeno rješenjem broj 1 St-1/2017-16 od 7. ožujka 2017.godine. Navedeno rješenje je objavljeno na E-oglasna ploča suda dana 7. ožujka  2017.godine, a postalo pravomoćno 27. </w:t>
      </w:r>
      <w:r>
        <w:lastRenderedPageBreak/>
        <w:t xml:space="preserve">ožujka  2017.godine.  Navedenim rješenjem  je utvrđeno da su sve tražbine koje su prijavljene od strane dužnika i vjerovnika priznate u cijelosti. </w:t>
      </w:r>
    </w:p>
    <w:p w:rsidRDefault="00F76EFB" w:rsidP="00F76EFB" w:rsidR="00F76EFB">
      <w:pPr>
        <w:pStyle w:val="Bezproreda"/>
      </w:pPr>
    </w:p>
    <w:p w:rsidRDefault="00F76EFB" w:rsidP="00F76EFB" w:rsidR="00F76EFB">
      <w:pPr>
        <w:pStyle w:val="Bezproreda"/>
      </w:pPr>
      <w:r>
        <w:t>U prijedlogu za namirenje kao sastavnom dijelu stečajnog plana dužnik je poimence naveo svaku tražbinu koja je priznata te je naveo u kom roku i uz koje uvjete će ih namiriti, a sve tražbine su razvrstane u jednu grupu.</w:t>
      </w:r>
    </w:p>
    <w:p w:rsidRDefault="00F76EFB" w:rsidP="00F76EFB" w:rsidR="00F76EFB">
      <w:pPr>
        <w:pStyle w:val="Bezproreda"/>
      </w:pPr>
    </w:p>
    <w:p w:rsidRDefault="00F76EFB" w:rsidP="00F76EFB" w:rsidR="00F76EFB">
      <w:pPr>
        <w:pStyle w:val="Bezproreda"/>
      </w:pPr>
      <w:r>
        <w:t xml:space="preserve">Vjerovnici su glasovali putem glasačkih listića te je na temelju glasanja  utvrđeno da je 14 vjerovnika od ukupnog broja vjerovnika (22) glasovalo ZA Plan restrukturiranja, te je također utvrđeno da su ZA Plan glasovali vjerovnici s ukupnim brojem glasova  5.339.744,11 što čini 82,62 % od ukupnog zbroja tražbina vjerovnika.  To znači da je za Plan restrukturiranja glasala većina svih vjerovnika te da zbroj tražbina vjerovnika koji su glasali za Plan dvostruko prelazi zbroj tražbina vjerovnika koji su  glasovali protiv prihvaćanja Plana, čime su u potpunosti ispunjene pretpostavke predviđene odredbom čl. 59. Stečajnog zakona. </w:t>
      </w:r>
    </w:p>
    <w:p w:rsidRDefault="00F76EFB" w:rsidP="00F76EFB" w:rsidR="00F76EFB">
      <w:pPr>
        <w:pStyle w:val="Bezproreda"/>
      </w:pPr>
    </w:p>
    <w:p w:rsidRDefault="00F76EFB" w:rsidP="00F76EFB" w:rsidR="00F76EFB">
      <w:pPr>
        <w:pStyle w:val="Bezproreda"/>
      </w:pPr>
      <w:r>
        <w:t>Stoga je plan od strane vjerovnika prihvaćen.</w:t>
      </w:r>
    </w:p>
    <w:p w:rsidRDefault="00F76EFB" w:rsidP="00F76EFB" w:rsidR="00F76EFB">
      <w:pPr>
        <w:pStyle w:val="Bezproreda"/>
      </w:pPr>
    </w:p>
    <w:p w:rsidRDefault="00F76EFB" w:rsidP="00F76EFB" w:rsidR="00F76EFB">
      <w:pPr>
        <w:pStyle w:val="Bezproreda"/>
      </w:pPr>
      <w:r>
        <w:t xml:space="preserve">Da bi se potvrdio </w:t>
      </w:r>
      <w:proofErr w:type="spellStart"/>
      <w:r>
        <w:t>predstečajni</w:t>
      </w:r>
      <w:proofErr w:type="spellEnd"/>
      <w:r>
        <w:t xml:space="preserve"> sporazum potrebno je utvrditi da li su ispunjene negativne procesne pretpostavke tj. da koji od vjerovnika  učini vjerojatnim da se planom restrukturiranja umanjuju prava ispod razne koju bi razumno vjerovnik očekivao ostvariti u slučaju ne provedbe restrukturiranja poslovanja dužnika.</w:t>
      </w:r>
    </w:p>
    <w:p w:rsidRDefault="00F76EFB" w:rsidP="00F76EFB" w:rsidR="00F76EFB">
      <w:pPr>
        <w:pStyle w:val="Bezproreda"/>
      </w:pPr>
    </w:p>
    <w:p w:rsidRDefault="00F76EFB" w:rsidP="00F76EFB" w:rsidR="00F76EFB">
      <w:pPr>
        <w:pStyle w:val="Bezproreda"/>
      </w:pPr>
      <w:r>
        <w:t>Nijedan od vjerovnika nije učinio vjerojatnim tu pretpostavku.</w:t>
      </w:r>
    </w:p>
    <w:p w:rsidRDefault="00F76EFB" w:rsidP="00F76EFB" w:rsidR="00F76EFB">
      <w:pPr>
        <w:pStyle w:val="Bezproreda"/>
      </w:pPr>
    </w:p>
    <w:p w:rsidRDefault="00F76EFB" w:rsidP="00F76EFB" w:rsidR="00F76EFB">
      <w:pPr>
        <w:pStyle w:val="Bezproreda"/>
      </w:pPr>
      <w:r>
        <w:t>Iz plana restrukturiranja proizlazi vjerojatnost da će njegova provedba omogućiti sposobnost za plaćanje dužnika u razdoblju do kraja tekuće godine i u dvije slijedeće kalendarske godine zbog predviđenih smanjenih troškova proizvodnje te odgode plaćanja dospjelih obveza, a što je vidljivo iz projekcije plana poslovanja 2016-2021.godine.</w:t>
      </w:r>
    </w:p>
    <w:p w:rsidRDefault="00F76EFB" w:rsidP="00F76EFB" w:rsidR="00F76EFB">
      <w:pPr>
        <w:pStyle w:val="Bezproreda"/>
      </w:pPr>
    </w:p>
    <w:p w:rsidRDefault="00F76EFB" w:rsidP="00F76EFB" w:rsidR="00F76EFB">
      <w:pPr>
        <w:pStyle w:val="Bezproreda"/>
      </w:pPr>
      <w:r>
        <w:t>Nije ispunjena niti negativna pretpostavka da planom restrukturiranja nije predviđeno namirenje za vjerovnike čije su tražbine osporene, jer kako je gore navedeno rješenjem o utvrđenim tražbinama sve su tražbine priznate.</w:t>
      </w:r>
    </w:p>
    <w:p w:rsidRDefault="00F76EFB" w:rsidP="00F76EFB" w:rsidR="00F76EFB">
      <w:pPr>
        <w:pStyle w:val="Bezproreda"/>
      </w:pPr>
    </w:p>
    <w:p w:rsidRDefault="00F76EFB" w:rsidP="00F76EFB" w:rsidR="00F76EFB">
      <w:pPr>
        <w:pStyle w:val="Bezproreda"/>
      </w:pPr>
      <w:r>
        <w:t xml:space="preserve">Također planom restrukturiranja nije predviđeno pretvaranje tražbine jednog ili više vjerovnika u temeljni kapital dužnika, te je stoga bilo potrebno utvrditi prihvaćanje plana restrukturiranja i potvrditi </w:t>
      </w:r>
      <w:proofErr w:type="spellStart"/>
      <w:r>
        <w:t>predstečajni</w:t>
      </w:r>
      <w:proofErr w:type="spellEnd"/>
      <w:r>
        <w:t xml:space="preserve"> sporazum zaključen između dužnika i vjerovnika navedenih u izreci ovoga rješenja.</w:t>
      </w:r>
    </w:p>
    <w:p w:rsidRDefault="00F76EFB" w:rsidP="00F76EFB" w:rsidR="00F76EFB">
      <w:pPr>
        <w:pStyle w:val="Bezproreda"/>
      </w:pPr>
    </w:p>
    <w:p w:rsidRDefault="00F76EFB" w:rsidP="00F76EFB" w:rsidR="00F76EFB">
      <w:pPr>
        <w:pStyle w:val="Bezproreda"/>
      </w:pPr>
      <w:r>
        <w:t xml:space="preserve">S obzirom na navedeno odlučeno je kao u izreci. </w:t>
      </w:r>
    </w:p>
    <w:p w:rsidRDefault="00F76EFB" w:rsidP="00F76EFB" w:rsidR="00F76EFB">
      <w:pPr>
        <w:pStyle w:val="Bezproreda"/>
      </w:pPr>
    </w:p>
    <w:p w:rsidRDefault="00F76EFB" w:rsidP="00F76EFB" w:rsidR="00F76EFB">
      <w:pPr>
        <w:pStyle w:val="Bezproreda"/>
      </w:pPr>
      <w:r>
        <w:t>U Bjelovaru, 12. svibnja 2017.</w:t>
      </w:r>
    </w:p>
    <w:p w:rsidRDefault="00F76EFB" w:rsidP="00F76EFB" w:rsidR="00F76EFB">
      <w:pPr>
        <w:pStyle w:val="Bezproreda"/>
      </w:pPr>
      <w:r>
        <w:t xml:space="preserve">                                                                                       S U D A C</w:t>
      </w:r>
    </w:p>
    <w:p w:rsidRDefault="00F76EFB" w:rsidP="00F76EFB" w:rsidR="00F76EFB">
      <w:pPr>
        <w:pStyle w:val="Bezproreda"/>
      </w:pPr>
    </w:p>
    <w:p w:rsidRDefault="00F76EFB" w:rsidP="00F76EFB" w:rsidR="00F76EFB">
      <w:pPr>
        <w:pStyle w:val="Bezproreda"/>
      </w:pPr>
      <w:r>
        <w:t xml:space="preserve">                                                                                BRANKA PLESKALT      v.r.</w:t>
      </w:r>
    </w:p>
    <w:p w:rsidRDefault="00F76EFB" w:rsidP="00F76EFB" w:rsidR="00F76EFB">
      <w:pPr>
        <w:pStyle w:val="Bezproreda"/>
      </w:pPr>
    </w:p>
    <w:p w:rsidRDefault="00F76EFB" w:rsidP="00F76EFB" w:rsidR="00F76EFB">
      <w:pPr>
        <w:pStyle w:val="Bezproreda"/>
      </w:pPr>
      <w:r>
        <w:tab/>
      </w:r>
      <w:r>
        <w:tab/>
      </w:r>
      <w:r>
        <w:tab/>
      </w:r>
      <w:r>
        <w:tab/>
      </w:r>
      <w:r>
        <w:tab/>
        <w:t xml:space="preserve">           Za točnost </w:t>
      </w:r>
      <w:proofErr w:type="spellStart"/>
      <w:r>
        <w:t>otpravka</w:t>
      </w:r>
      <w:proofErr w:type="spellEnd"/>
      <w:r>
        <w:t>-ovlašteni službenik</w:t>
      </w:r>
    </w:p>
    <w:p w:rsidRDefault="00F76EFB" w:rsidP="00F76EFB" w:rsidR="00F76EFB">
      <w:pPr>
        <w:pStyle w:val="Bezproreda"/>
      </w:pPr>
      <w:r>
        <w:tab/>
      </w:r>
      <w:r>
        <w:tab/>
      </w:r>
      <w:r>
        <w:tab/>
      </w:r>
      <w:r>
        <w:tab/>
      </w:r>
      <w:r>
        <w:tab/>
      </w:r>
      <w:r>
        <w:tab/>
      </w:r>
      <w:r>
        <w:tab/>
        <w:t xml:space="preserve">    Vesna Dragišić              </w:t>
      </w:r>
    </w:p>
    <w:p w:rsidRDefault="00F76EFB" w:rsidP="00F76EFB" w:rsidR="00F76EFB">
      <w:pPr>
        <w:pStyle w:val="Bezproreda"/>
      </w:pPr>
    </w:p>
    <w:p w:rsidRDefault="00F76EFB" w:rsidP="00F76EFB" w:rsidR="00F76EFB">
      <w:pPr>
        <w:pStyle w:val="Bezproreda"/>
      </w:pPr>
    </w:p>
    <w:p w:rsidRDefault="00F76EFB" w:rsidP="00F76EFB" w:rsidR="00F76EFB">
      <w:pPr>
        <w:pStyle w:val="Bezproreda"/>
      </w:pPr>
      <w:r>
        <w:lastRenderedPageBreak/>
        <w:t>NAPUTAK O PRAVNOM LIJEKU:Protiv ovoga rješenja dopuštena je žalba Visokom Trgovačkom sudu u Zagrebu, u roku od 8 dana nakon isteka 8 dana od dana objave na E-oglasnoj ploči suda u 3 primjerka putem ovoga suda.</w:t>
      </w:r>
    </w:p>
    <w:p w:rsidRDefault="00F76EFB" w:rsidP="00F76EFB" w:rsidR="00F76EFB">
      <w:pPr>
        <w:pStyle w:val="Bezprored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6EFB"/>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75548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St-1/2017-38</izvorni_sadrzaj>
    <derivirana_varijabla naziv="DomainObject.Oznaka_1">St-1/2017-38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St-1/2017</izvorni_sadrzaj>
    <derivirana_varijabla naziv="DomainObject.Predmet.OznakaBroj_1">St-1/2017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VOĆE-PROMET d.o.o. za trgovinu i usluge</izvorni_sadrzaj>
    <derivirana_varijabla naziv="DomainObject.Predmet.StrankaFormated_1">  VOĆE-PROMET d.o.o. za trgovinu i usluge</derivirana_varijabla>
  </DomainObject.Predmet.StrankaFormated>
  <DomainObject.Predmet.StrankaFormatedOIB>
    <izvorni_sadrzaj>  VOĆE-PROMET d.o.o. za trgovinu i usluge, OIB 40333024256</izvorni_sadrzaj>
    <derivirana_varijabla naziv="DomainObject.Predmet.StrankaFormatedOIB_1">  VOĆE-PROMET d.o.o. za trgovinu i usluge, OIB 40333024256</derivirana_varijabla>
  </DomainObject.Predmet.StrankaFormatedOIB>
  <DomainObject.Predmet.StrankaFormatedWithAdress>
    <izvorni_sadrzaj> VOĆE-PROMET d.o.o. za trgovinu i usluge, Zagrebačka 20, 33000 Čemernica</izvorni_sadrzaj>
    <derivirana_varijabla naziv="DomainObject.Predmet.StrankaFormatedWithAdress_1"> VOĆE-PROMET d.o.o. za trgovinu i usluge, Zagrebačka 20, 33000 Čemernica</derivirana_varijabla>
  </DomainObject.Predmet.StrankaFormatedWithAdress>
  <DomainObject.Predmet.StrankaFormatedWithAdressOIB>
    <izvorni_sadrzaj> VOĆE-PROMET d.o.o. za trgovinu i usluge, OIB 40333024256, Zagrebačka 20, 33000 Čemernica</izvorni_sadrzaj>
    <derivirana_varijabla naziv="DomainObject.Predmet.StrankaFormatedWithAdressOIB_1"> VOĆE-PROMET d.o.o. za trgovinu i usluge, OIB 40333024256, Zagrebačka 20, 33000 Čemernica</derivirana_varijabla>
  </DomainObject.Predmet.StrankaFormatedWithAdressOIB>
  <DomainObject.Predmet.StrankaWithAdress>
    <izvorni_sadrzaj>VOĆE-PROMET d.o.o. za trgovinu i usluge Zagrebačka 20,33000 Čemernica</izvorni_sadrzaj>
    <derivirana_varijabla naziv="DomainObject.Predmet.StrankaWithAdress_1">VOĆE-PROMET d.o.o. za trgovinu i usluge Zagrebačka 20,33000 Čemernica</derivirana_varijabla>
  </DomainObject.Predmet.StrankaWithAdress>
  <DomainObject.Predmet.StrankaWithAdressOIB>
    <izvorni_sadrzaj>VOĆE-PROMET d.o.o. za trgovinu i usluge, OIB 40333024256, Zagrebačka 20,33000 Čemernica</izvorni_sadrzaj>
    <derivirana_varijabla naziv="DomainObject.Predmet.StrankaWithAdressOIB_1">VOĆE-PROMET d.o.o. za trgovinu i usluge, OIB 40333024256, Zagrebačka 20,33000 Čemernica</derivirana_varijabla>
  </DomainObject.Predmet.StrankaWithAdressOIB>
  <DomainObject.Predmet.StrankaNazivFormated>
    <izvorni_sadrzaj>VOĆE-PROMET d.o.o. za trgovinu i usluge</izvorni_sadrzaj>
    <derivirana_varijabla naziv="DomainObject.Predmet.StrankaNazivFormated_1">VOĆE-PROMET d.o.o. za trgovinu i usluge</derivirana_varijabla>
  </DomainObject.Predmet.StrankaNazivFormated>
  <DomainObject.Predmet.StrankaNazivFormatedOIB>
    <izvorni_sadrzaj>VOĆE-PROMET d.o.o. za trgovinu i usluge, OIB 40333024256</izvorni_sadrzaj>
    <derivirana_varijabla naziv="DomainObject.Predmet.StrankaNazivFormatedOIB_1">VOĆE-PROMET d.o.o. za trgovinu i usluge, OIB 40333024256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VOĆE-PROMET d.o.o. za trgovinu i usluge</item>
    </izvorni_sadrzaj>
    <derivirana_varijabla naziv="DomainObject.Predmet.StrankaListFormated_1">
      <item>VOĆE-PROMET d.o.o. za trgovinu i usluge</item>
    </derivirana_varijabla>
  </DomainObject.Predmet.StrankaListFormated>
  <DomainObject.Predmet.StrankaListFormatedOIB>
    <izvorni_sadrzaj>
      <item>VOĆE-PROMET d.o.o. za trgovinu i usluge, OIB 40333024256</item>
    </izvorni_sadrzaj>
    <derivirana_varijabla naziv="DomainObject.Predmet.StrankaListFormatedOIB_1">
      <item>VOĆE-PROMET d.o.o. za trgovinu i usluge, OIB 40333024256</item>
    </derivirana_varijabla>
  </DomainObject.Predmet.StrankaListFormatedOIB>
  <DomainObject.Predmet.StrankaListFormatedWithAdress>
    <izvorni_sadrzaj>
      <item>VOĆE-PROMET d.o.o. za trgovinu i usluge, Zagrebačka 20, 33000 Čemernica</item>
    </izvorni_sadrzaj>
    <derivirana_varijabla naziv="DomainObject.Predmet.StrankaListFormatedWithAdress_1">
      <item>VOĆE-PROMET d.o.o. za trgovinu i usluge, Zagrebačka 20, 33000 Čemernica</item>
    </derivirana_varijabla>
  </DomainObject.Predmet.StrankaListFormatedWithAdress>
  <DomainObject.Predmet.StrankaListFormatedWithAdressOIB>
    <izvorni_sadrzaj>
      <item>VOĆE-PROMET d.o.o. za trgovinu i usluge, OIB 40333024256, Zagrebačka 20, 33000 Čemernica</item>
    </izvorni_sadrzaj>
    <derivirana_varijabla naziv="DomainObject.Predmet.StrankaListFormatedWithAdressOIB_1">
      <item>VOĆE-PROMET d.o.o. za trgovinu i usluge, OIB 40333024256, Zagrebačka 20, 33000 Čemernica</item>
    </derivirana_varijabla>
  </DomainObject.Predmet.StrankaListFormatedWithAdressOIB>
  <DomainObject.Predmet.StrankaListNazivFormated>
    <izvorni_sadrzaj>
      <item>VOĆE-PROMET d.o.o. za trgovinu i usluge</item>
    </izvorni_sadrzaj>
    <derivirana_varijabla naziv="DomainObject.Predmet.StrankaListNazivFormated_1">
      <item>VOĆE-PROMET d.o.o. za trgovinu i usluge</item>
    </derivirana_varijabla>
  </DomainObject.Predmet.StrankaListNazivFormated>
  <DomainObject.Predmet.StrankaListNazivFormatedOIB>
    <izvorni_sadrzaj>
      <item>VOĆE-PROMET d.o.o. za trgovinu i usluge, OIB 40333024256</item>
    </izvorni_sadrzaj>
    <derivirana_varijabla naziv="DomainObject.Predmet.StrankaListNazivFormatedOIB_1">
      <item>VOĆE-PROMET d.o.o. za trgovinu i usluge, OIB 40333024256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 BJELOVAR</item>
      <item>Općinski sud u Virovitici, Zemljišnoknjižni odjel</item>
      <item>računovodstvo, ovdje</item>
      <item>ŽDO U BJELOVARU</item>
    </izvorni_sadrzaj>
    <derivirana_varijabla naziv="DomainObject.Predmet.OstaliListFormated_1">
      <item>FINA BJELOVAR</item>
      <item>Općinski sud u Virovitici, Zemljišnoknjižni odjel</item>
      <item>računovodstvo, ovdje</item>
      <item>ŽDO U BJELOVARU</item>
    </derivirana_varijabla>
  </DomainObject.Predmet.OstaliListFormated>
  <DomainObject.Predmet.OstaliListFormatedOIB>
    <izvorni_sadrzaj>
      <item>FINA BJELOVAR</item>
      <item>Općinski sud u Virovitici, Zemljišnoknjižni odjel</item>
      <item>računovodstvo, ovdje</item>
      <item>ŽDO U BJELOVARU</item>
    </izvorni_sadrzaj>
    <derivirana_varijabla naziv="DomainObject.Predmet.OstaliListFormatedOIB_1">
      <item>FINA BJELOVAR</item>
      <item>Općinski sud u Virovitici, Zemljišnoknjižni odjel</item>
      <item>računovodstvo, ovdje</item>
      <item>ŽDO U BJELOVARU</item>
    </derivirana_varijabla>
  </DomainObject.Predmet.OstaliListFormatedOIB>
  <DomainObject.Predmet.OstaliListFormatedWithAdress>
    <izvorni_sadrzaj>
      <item>FINA BJELOVAR</item>
      <item>Općinski sud u Virovitici, Zemljišnoknjižni odjel, ., 33000 Virovitica</item>
      <item>računovodstvo, ovdje</item>
      <item>ŽDO U BJELOVARU</item>
    </izvorni_sadrzaj>
    <derivirana_varijabla naziv="DomainObject.Predmet.OstaliListFormatedWithAdress_1">
      <item>FINA BJELOVAR</item>
      <item>Općinski sud u Virovitici, Zemljišnoknjižni odjel, ., 33000 Virovitica</item>
      <item>računovodstvo, ovdje</item>
      <item>ŽDO U BJELOVARU</item>
    </derivirana_varijabla>
  </DomainObject.Predmet.OstaliListFormatedWithAdress>
  <DomainObject.Predmet.OstaliListFormatedWithAdressOIB>
    <izvorni_sadrzaj>
      <item>FINA BJELOVAR</item>
      <item>Općinski sud u Virovitici, Zemljišnoknjižni odjel, ., 33000 Virovitica</item>
      <item>računovodstvo, ovdje</item>
      <item>ŽDO U BJELOVARU</item>
    </izvorni_sadrzaj>
    <derivirana_varijabla naziv="DomainObject.Predmet.OstaliListFormatedWithAdressOIB_1">
      <item>FINA BJELOVAR</item>
      <item>Općinski sud u Virovitici, Zemljišnoknjižni odjel, ., 33000 Virovitica</item>
      <item>računovodstvo, ovdje</item>
      <item>ŽDO U BJELOVARU</item>
    </derivirana_varijabla>
  </DomainObject.Predmet.OstaliListFormatedWithAdressOIB>
  <DomainObject.Predmet.OstaliListNazivFormated>
    <izvorni_sadrzaj>
      <item>FINA BJELOVAR</item>
      <item>Općinski sud u Virovitici, Zemljišnoknjižni odjel</item>
      <item>računovodstvo, ovdje</item>
      <item>ŽDO U BJELOVARU</item>
    </izvorni_sadrzaj>
    <derivirana_varijabla naziv="DomainObject.Predmet.OstaliListNazivFormated_1">
      <item>FINA BJELOVAR</item>
      <item>Općinski sud u Virovitici, Zemljišnoknjižni odjel</item>
      <item>računovodstvo, ovdje</item>
      <item>ŽDO U BJELOVARU</item>
    </derivirana_varijabla>
  </DomainObject.Predmet.OstaliListNazivFormated>
  <DomainObject.Predmet.OstaliListNazivFormatedOIB>
    <izvorni_sadrzaj>
      <item>FINA BJELOVAR</item>
      <item>Općinski sud u Virovitici, Zemljišnoknjižni odjel</item>
      <item>računovodstvo, ovdje</item>
      <item>ŽDO U BJELOVARU</item>
    </izvorni_sadrzaj>
    <derivirana_varijabla naziv="DomainObject.Predmet.OstaliListNazivFormatedOIB_1">
      <item>FINA BJELOVAR</item>
      <item>Općinski sud u Virovitici, Zemljišnoknjižni odjel</item>
      <item>računovodstvo, ovdje</item>
      <item>ŽDO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St-1/2017-38</izvorni_sadrzaj>
    <derivirana_varijabla naziv="DomainObject.PoslovniBrojDokumenta_1">St-1/2017-38</derivirana_varijabla>
  </DomainObject.PoslovniBrojDokumenta>
  <DomainObject.Predmet.StrankaIDrugi>
    <izvorni_sadrzaj>VOĆE-PROMET d.o.o. za trgovinu i usluge</izvorni_sadrzaj>
    <derivirana_varijabla naziv="DomainObject.Predmet.StrankaIDrugi_1">VOĆE-PROMET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VOĆE-PROMET d.o.o. za trgovinu i usluge, OIB 40333024256, Zagrebačka 20, 33000 Čemernica</izvorni_sadrzaj>
    <derivirana_varijabla naziv="DomainObject.Predmet.StrankaIDrugiAdressOIB_1">VOĆE-PROMET d.o.o. za trgovinu i usluge, OIB 40333024256, Zagrebačka 20, 33000 Čemernica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VOĆE-PROMET d.o.o. za trgovinu i usluge</item>
      <item>FINA BJELOVAR</item>
      <item>Općinski sud u Virovitici, Zemljišnoknjižni odjel</item>
      <item>računovodstvo, ovdje</item>
      <item>ŽDO U BJELOVARU</item>
    </izvorni_sadrzaj>
    <derivirana_varijabla naziv="DomainObject.Predmet.SudioniciListNaziv_1">
      <item>VOĆE-PROMET d.o.o. za trgovinu i usluge</item>
      <item>FINA BJELOVAR</item>
      <item>Općinski sud u Virovitici, Zemljišnoknjižni odjel</item>
      <item>računovodstvo, ovdje</item>
      <item>ŽDO U BJELOVARU</item>
    </derivirana_varijabla>
  </DomainObject.Predmet.SudioniciListNaziv>
  <DomainObject.Predmet.SudioniciListAdressOIB>
    <izvorni_sadrzaj>
      <item>VOĆE-PROMET d.o.o. za trgovinu i usluge, OIB 40333024256, Zagrebačka 20,33000 Čemernica</item>
      <item>FINA BJELOVAR</item>
      <item>Općinski sud u Virovitici, Zemljišnoknjižni odjel, .,33000 Virovitica</item>
      <item>računovodstvo, ovdje</item>
      <item>ŽDO U BJELOVARU</item>
    </izvorni_sadrzaj>
    <derivirana_varijabla naziv="DomainObject.Predmet.SudioniciListAdressOIB_1">
      <item>VOĆE-PROMET d.o.o. za trgovinu i usluge, OIB 40333024256, Zagrebačka 20,33000 Čemernica</item>
      <item>FINA BJELOVAR</item>
      <item>Općinski sud u Virovitici, Zemljišnoknjižni odjel, .,33000 Virovitica</item>
      <item>računovodstvo, ovdje</item>
      <item>ŽDO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8A17CF-2742-46F0-80F7-3947A9088D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1807</properties:Words>
  <properties:Characters>10476</properties:Characters>
  <properties:Lines>724</properties:Lines>
  <properties:Paragraphs>213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2017-05-12T09:35:00Z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St-1/2017-38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